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D1" w:rsidRDefault="008541D1" w:rsidP="008541D1">
      <w:pPr>
        <w:pStyle w:val="NormalWeb"/>
        <w:jc w:val="center"/>
      </w:pPr>
      <w:r>
        <w:rPr>
          <w:noProof/>
        </w:rPr>
        <w:drawing>
          <wp:inline distT="0" distB="0" distL="0" distR="0">
            <wp:extent cx="4429125" cy="110068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oylogistics-5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141" cy="11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D1" w:rsidRPr="008541D1" w:rsidRDefault="008541D1" w:rsidP="008541D1">
      <w:pPr>
        <w:pStyle w:val="NormalWeb"/>
        <w:jc w:val="center"/>
        <w:rPr>
          <w:b/>
        </w:rPr>
      </w:pPr>
      <w:r w:rsidRPr="008541D1">
        <w:rPr>
          <w:b/>
        </w:rPr>
        <w:t>TRAILER SELECTOR GUIDE</w:t>
      </w:r>
    </w:p>
    <w:p w:rsidR="008541D1" w:rsidRDefault="008541D1" w:rsidP="008541D1">
      <w:pPr>
        <w:pStyle w:val="NormalWeb"/>
      </w:pPr>
      <w:r>
        <w:t xml:space="preserve">These diagrams will help you determine the type and quantity of platform-type trailers required to transport your freight. The total freight weight and dimensions each trailer type can typically transport “legally”, </w:t>
      </w:r>
      <w:proofErr w:type="spellStart"/>
      <w:r>
        <w:t>ie</w:t>
      </w:r>
      <w:proofErr w:type="spellEnd"/>
      <w:r>
        <w:t xml:space="preserve">. </w:t>
      </w:r>
      <w:proofErr w:type="gramStart"/>
      <w:r>
        <w:t>without</w:t>
      </w:r>
      <w:proofErr w:type="gramEnd"/>
      <w:r>
        <w:t xml:space="preserve"> state highway permits, is shown. Since there are variations within each trailer type, the information shown should be used as a general guideline. Most of these platform trailers have the capacity to handle freight exceeding these weights and dimensions for a premium charge and require state(s) permit authority to be obtained prior to shipment. Please contact us for assistance with trailer selection.</w:t>
      </w:r>
    </w:p>
    <w:p w:rsidR="008541D1" w:rsidRDefault="008541D1" w:rsidP="008541D1">
      <w:pPr>
        <w:pStyle w:val="NormalWeb"/>
      </w:pPr>
      <w:r>
        <w:t xml:space="preserve">**Please note: The maximum freight dimensions and weight shown below each trailer are approximate and should be used as a rough guideline for planning, not for making precision loading calculations. Actual loadable freight weight &amp; dimensions vary from trailer to trailer and are based on the specs. </w:t>
      </w:r>
      <w:proofErr w:type="gramStart"/>
      <w:r>
        <w:t>of</w:t>
      </w:r>
      <w:proofErr w:type="gramEnd"/>
      <w:r>
        <w:t xml:space="preserve"> the actual trailer &amp; semi-tractor utilized.</w:t>
      </w:r>
    </w:p>
    <w:p w:rsidR="008541D1" w:rsidRPr="008541D1" w:rsidRDefault="008541D1" w:rsidP="00854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41D1">
        <w:rPr>
          <w:rFonts w:ascii="Times New Roman" w:eastAsia="Times New Roman" w:hAnsi="Times New Roman" w:cs="Times New Roman"/>
          <w:b/>
          <w:bCs/>
          <w:sz w:val="27"/>
          <w:szCs w:val="27"/>
        </w:rPr>
        <w:t>Flatbed</w:t>
      </w:r>
    </w:p>
    <w:p w:rsidR="008541D1" w:rsidRPr="008541D1" w:rsidRDefault="008541D1" w:rsidP="0085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143500" cy="504825"/>
            <wp:effectExtent l="0" t="0" r="0" b="9525"/>
            <wp:docPr id="6" name="Picture 6" descr="flatb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b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D1" w:rsidRDefault="008541D1"/>
    <w:p w:rsidR="008541D1" w:rsidRDefault="008541D1" w:rsidP="008541D1">
      <w:pPr>
        <w:pStyle w:val="trailer-description"/>
      </w:pPr>
      <w:r>
        <w:t>This trailer accommodates freight with the maximum legal weight and dimensions shown below.</w:t>
      </w:r>
    </w:p>
    <w:p w:rsidR="008541D1" w:rsidRDefault="008541D1" w:rsidP="008541D1">
      <w:pPr>
        <w:pStyle w:val="Heading4"/>
      </w:pPr>
      <w:r>
        <w:t>Max Freight Weight</w:t>
      </w:r>
    </w:p>
    <w:p w:rsidR="008541D1" w:rsidRDefault="008541D1" w:rsidP="008541D1">
      <w:pPr>
        <w:pStyle w:val="NormalWeb"/>
      </w:pPr>
      <w:r>
        <w:t>48,000 lbs.</w:t>
      </w:r>
    </w:p>
    <w:p w:rsidR="008541D1" w:rsidRDefault="008541D1" w:rsidP="008541D1">
      <w:pPr>
        <w:pStyle w:val="Heading4"/>
      </w:pPr>
      <w:r>
        <w:t>Max Freight Dimensions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369"/>
      </w:tblGrid>
      <w:tr w:rsidR="008541D1" w:rsidTr="00854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41D1" w:rsidRPr="002828D2" w:rsidRDefault="008541D1" w:rsidP="002828D2">
            <w:pPr>
              <w:jc w:val="center"/>
              <w:rPr>
                <w:b/>
                <w:sz w:val="24"/>
                <w:szCs w:val="24"/>
              </w:rPr>
            </w:pPr>
            <w:r w:rsidRPr="002828D2">
              <w:rPr>
                <w:b/>
              </w:rPr>
              <w:t>Deck</w:t>
            </w:r>
          </w:p>
        </w:tc>
      </w:tr>
      <w:tr w:rsidR="008541D1" w:rsidTr="00854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Length:</w:t>
            </w:r>
          </w:p>
        </w:tc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48 feet</w:t>
            </w:r>
          </w:p>
        </w:tc>
      </w:tr>
      <w:tr w:rsidR="008541D1" w:rsidTr="00854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Width:</w:t>
            </w:r>
          </w:p>
        </w:tc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8.5 feet (102″)</w:t>
            </w:r>
          </w:p>
        </w:tc>
      </w:tr>
      <w:tr w:rsidR="008541D1" w:rsidTr="00854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Height:</w:t>
            </w:r>
          </w:p>
        </w:tc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8.5 feet (102″)</w:t>
            </w:r>
          </w:p>
        </w:tc>
      </w:tr>
    </w:tbl>
    <w:p w:rsidR="008541D1" w:rsidRDefault="008541D1"/>
    <w:p w:rsidR="00565382" w:rsidRDefault="00565382" w:rsidP="008541D1">
      <w:pPr>
        <w:pStyle w:val="Heading3"/>
      </w:pPr>
    </w:p>
    <w:p w:rsidR="00565382" w:rsidRDefault="00565382" w:rsidP="008541D1">
      <w:pPr>
        <w:pStyle w:val="Heading3"/>
      </w:pPr>
    </w:p>
    <w:p w:rsidR="008541D1" w:rsidRDefault="008541D1" w:rsidP="008541D1">
      <w:pPr>
        <w:pStyle w:val="Heading3"/>
      </w:pPr>
      <w:r>
        <w:t xml:space="preserve">Single-Drop Deck (aka </w:t>
      </w:r>
      <w:proofErr w:type="spellStart"/>
      <w:r>
        <w:t>Stepdeck</w:t>
      </w:r>
      <w:proofErr w:type="spellEnd"/>
      <w:r>
        <w:t>)</w:t>
      </w:r>
    </w:p>
    <w:p w:rsidR="008541D1" w:rsidRDefault="008541D1">
      <w:r>
        <w:rPr>
          <w:noProof/>
        </w:rPr>
        <w:drawing>
          <wp:inline distT="0" distB="0" distL="0" distR="0" wp14:anchorId="7DAD7E75" wp14:editId="10BB66A6">
            <wp:extent cx="5143500" cy="714375"/>
            <wp:effectExtent l="0" t="0" r="0" b="9525"/>
            <wp:docPr id="2" name="Picture 3" descr="http://stevenswest.com/wp-content/uploads/2015/05/single_drop_d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venswest.com/wp-content/uploads/2015/05/single_drop_de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D1" w:rsidRDefault="008541D1"/>
    <w:p w:rsidR="008541D1" w:rsidRDefault="008541D1" w:rsidP="008541D1">
      <w:pPr>
        <w:pStyle w:val="trailer-description"/>
      </w:pPr>
      <w:r>
        <w:t>This trailer accommodates freight with the maximum legal weight and dimensions shown below.</w:t>
      </w:r>
    </w:p>
    <w:p w:rsidR="00565382" w:rsidRDefault="00565382" w:rsidP="008541D1">
      <w:pPr>
        <w:pStyle w:val="Heading4"/>
      </w:pPr>
    </w:p>
    <w:p w:rsidR="008541D1" w:rsidRDefault="008541D1" w:rsidP="008541D1">
      <w:pPr>
        <w:pStyle w:val="Heading4"/>
      </w:pPr>
      <w:r>
        <w:t>Max Freight Weight</w:t>
      </w:r>
    </w:p>
    <w:p w:rsidR="008541D1" w:rsidRDefault="008541D1" w:rsidP="008541D1">
      <w:pPr>
        <w:pStyle w:val="NormalWeb"/>
      </w:pPr>
      <w:r>
        <w:t>48,000 lbs.</w:t>
      </w:r>
    </w:p>
    <w:p w:rsidR="00565382" w:rsidRDefault="00565382" w:rsidP="008541D1">
      <w:pPr>
        <w:pStyle w:val="NormalWeb"/>
      </w:pPr>
    </w:p>
    <w:p w:rsidR="008541D1" w:rsidRDefault="008541D1" w:rsidP="008541D1">
      <w:pPr>
        <w:pStyle w:val="Heading4"/>
      </w:pPr>
      <w:r>
        <w:t>Max Freight Dimensions</w:t>
      </w:r>
    </w:p>
    <w:tbl>
      <w:tblPr>
        <w:tblW w:w="47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169"/>
        <w:gridCol w:w="1668"/>
      </w:tblGrid>
      <w:tr w:rsidR="00565382" w:rsidTr="00565382">
        <w:trPr>
          <w:trHeight w:val="871"/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8541D1" w:rsidRPr="00565382" w:rsidRDefault="008541D1" w:rsidP="002828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5382">
              <w:rPr>
                <w:b/>
                <w:u w:val="single"/>
              </w:rPr>
              <w:t>Main Deck</w:t>
            </w:r>
          </w:p>
        </w:tc>
        <w:tc>
          <w:tcPr>
            <w:tcW w:w="1623" w:type="dxa"/>
            <w:vAlign w:val="center"/>
            <w:hideMark/>
          </w:tcPr>
          <w:p w:rsidR="008541D1" w:rsidRPr="00565382" w:rsidRDefault="008541D1" w:rsidP="002828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5382">
              <w:rPr>
                <w:b/>
                <w:u w:val="single"/>
              </w:rPr>
              <w:t>Front Deck</w:t>
            </w:r>
          </w:p>
        </w:tc>
      </w:tr>
      <w:tr w:rsidR="00565382" w:rsidTr="00565382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Length:</w:t>
            </w:r>
          </w:p>
        </w:tc>
        <w:tc>
          <w:tcPr>
            <w:tcW w:w="2139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37 feet</w:t>
            </w:r>
          </w:p>
        </w:tc>
        <w:tc>
          <w:tcPr>
            <w:tcW w:w="1623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11 feet</w:t>
            </w:r>
          </w:p>
        </w:tc>
      </w:tr>
      <w:tr w:rsidR="00565382" w:rsidTr="00565382">
        <w:trPr>
          <w:trHeight w:val="855"/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Width:</w:t>
            </w:r>
          </w:p>
        </w:tc>
        <w:tc>
          <w:tcPr>
            <w:tcW w:w="2139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623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</w:tr>
      <w:tr w:rsidR="00565382" w:rsidTr="00565382">
        <w:trPr>
          <w:trHeight w:val="871"/>
          <w:tblCellSpacing w:w="15" w:type="dxa"/>
        </w:trPr>
        <w:tc>
          <w:tcPr>
            <w:tcW w:w="0" w:type="auto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Height:</w:t>
            </w:r>
          </w:p>
        </w:tc>
        <w:tc>
          <w:tcPr>
            <w:tcW w:w="2139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10 feet (120″)</w:t>
            </w:r>
          </w:p>
        </w:tc>
        <w:tc>
          <w:tcPr>
            <w:tcW w:w="1623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</w:tr>
    </w:tbl>
    <w:p w:rsidR="008541D1" w:rsidRDefault="008541D1"/>
    <w:p w:rsidR="008541D1" w:rsidRDefault="008541D1" w:rsidP="008541D1">
      <w:pPr>
        <w:pStyle w:val="Heading3"/>
      </w:pPr>
    </w:p>
    <w:p w:rsidR="00565382" w:rsidRDefault="00565382" w:rsidP="008541D1">
      <w:pPr>
        <w:pStyle w:val="Heading3"/>
      </w:pPr>
    </w:p>
    <w:p w:rsidR="00565382" w:rsidRDefault="00565382" w:rsidP="008541D1">
      <w:pPr>
        <w:pStyle w:val="Heading3"/>
      </w:pPr>
    </w:p>
    <w:p w:rsidR="00565382" w:rsidRDefault="00565382" w:rsidP="008541D1">
      <w:pPr>
        <w:pStyle w:val="Heading3"/>
      </w:pPr>
    </w:p>
    <w:p w:rsidR="00565382" w:rsidRDefault="00565382" w:rsidP="008541D1">
      <w:pPr>
        <w:pStyle w:val="Heading3"/>
      </w:pPr>
    </w:p>
    <w:p w:rsidR="00565382" w:rsidRDefault="00565382" w:rsidP="008541D1">
      <w:pPr>
        <w:pStyle w:val="Heading3"/>
      </w:pPr>
    </w:p>
    <w:p w:rsidR="008541D1" w:rsidRDefault="008541D1" w:rsidP="008541D1">
      <w:pPr>
        <w:pStyle w:val="Heading3"/>
      </w:pPr>
      <w:r>
        <w:t>Double-Drop Deck (aka Lowboy)</w:t>
      </w:r>
    </w:p>
    <w:p w:rsidR="008541D1" w:rsidRDefault="008541D1"/>
    <w:p w:rsidR="008541D1" w:rsidRDefault="008541D1">
      <w:r>
        <w:rPr>
          <w:noProof/>
        </w:rPr>
        <w:drawing>
          <wp:inline distT="0" distB="0" distL="0" distR="0" wp14:anchorId="41E8EF0B" wp14:editId="59AC5A6C">
            <wp:extent cx="4810125" cy="647700"/>
            <wp:effectExtent l="0" t="0" r="9525" b="0"/>
            <wp:docPr id="3" name="Picture 4" descr="http://stevenswest.com/wp-content/uploads/2015/05/double_drop_d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venswest.com/wp-content/uploads/2015/05/double_drop_dec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82" w:rsidRDefault="00565382" w:rsidP="008541D1">
      <w:pPr>
        <w:pStyle w:val="trailer-description"/>
      </w:pPr>
    </w:p>
    <w:p w:rsidR="008541D1" w:rsidRDefault="008541D1" w:rsidP="008541D1">
      <w:pPr>
        <w:pStyle w:val="trailer-description"/>
      </w:pPr>
      <w:r>
        <w:t>This trailer accommodates freight with the maximum legal weight and dimensions shown below.</w:t>
      </w:r>
    </w:p>
    <w:p w:rsidR="00565382" w:rsidRDefault="00565382" w:rsidP="008541D1">
      <w:pPr>
        <w:pStyle w:val="trailer-description"/>
      </w:pPr>
    </w:p>
    <w:p w:rsidR="008541D1" w:rsidRDefault="008541D1" w:rsidP="008541D1">
      <w:pPr>
        <w:pStyle w:val="Heading4"/>
      </w:pPr>
      <w:r>
        <w:t>Max Freight Weight</w:t>
      </w:r>
    </w:p>
    <w:p w:rsidR="008541D1" w:rsidRDefault="008541D1" w:rsidP="008541D1">
      <w:pPr>
        <w:pStyle w:val="NormalWeb"/>
      </w:pPr>
      <w:r>
        <w:t>45,000 lbs.</w:t>
      </w:r>
    </w:p>
    <w:p w:rsidR="008541D1" w:rsidRDefault="008541D1" w:rsidP="008541D1">
      <w:pPr>
        <w:pStyle w:val="NormalWeb"/>
      </w:pPr>
    </w:p>
    <w:p w:rsidR="008541D1" w:rsidRDefault="008541D1" w:rsidP="008541D1">
      <w:pPr>
        <w:pStyle w:val="Heading4"/>
      </w:pPr>
      <w:r>
        <w:t>Max Freight Dimensions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620"/>
        <w:gridCol w:w="1530"/>
        <w:gridCol w:w="1530"/>
      </w:tblGrid>
      <w:tr w:rsidR="008541D1" w:rsidTr="0056538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  <w:hideMark/>
          </w:tcPr>
          <w:p w:rsidR="008541D1" w:rsidRPr="00565382" w:rsidRDefault="008541D1" w:rsidP="005653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5382">
              <w:rPr>
                <w:b/>
                <w:u w:val="single"/>
              </w:rPr>
              <w:t>Main Deck</w:t>
            </w:r>
          </w:p>
        </w:tc>
        <w:tc>
          <w:tcPr>
            <w:tcW w:w="1500" w:type="dxa"/>
            <w:vAlign w:val="center"/>
            <w:hideMark/>
          </w:tcPr>
          <w:p w:rsidR="008541D1" w:rsidRPr="00565382" w:rsidRDefault="008541D1" w:rsidP="005653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5382">
              <w:rPr>
                <w:b/>
                <w:u w:val="single"/>
              </w:rPr>
              <w:t>Front Deck</w:t>
            </w:r>
          </w:p>
        </w:tc>
        <w:tc>
          <w:tcPr>
            <w:tcW w:w="1485" w:type="dxa"/>
            <w:vAlign w:val="center"/>
            <w:hideMark/>
          </w:tcPr>
          <w:p w:rsidR="008541D1" w:rsidRPr="00565382" w:rsidRDefault="008541D1" w:rsidP="005653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5382">
              <w:rPr>
                <w:b/>
                <w:u w:val="single"/>
              </w:rPr>
              <w:t>Rear Deck</w:t>
            </w:r>
          </w:p>
        </w:tc>
      </w:tr>
      <w:tr w:rsidR="008541D1" w:rsidTr="0056538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Length:</w:t>
            </w:r>
          </w:p>
        </w:tc>
        <w:tc>
          <w:tcPr>
            <w:tcW w:w="1590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29 feet</w:t>
            </w:r>
          </w:p>
        </w:tc>
        <w:tc>
          <w:tcPr>
            <w:tcW w:w="1500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10 feet</w:t>
            </w:r>
          </w:p>
        </w:tc>
        <w:tc>
          <w:tcPr>
            <w:tcW w:w="1485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9 feet</w:t>
            </w:r>
          </w:p>
        </w:tc>
      </w:tr>
      <w:tr w:rsidR="008541D1" w:rsidTr="0056538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Width:</w:t>
            </w:r>
          </w:p>
        </w:tc>
        <w:tc>
          <w:tcPr>
            <w:tcW w:w="1590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500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485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</w:tr>
      <w:tr w:rsidR="008541D1" w:rsidTr="00565382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Height:</w:t>
            </w:r>
          </w:p>
        </w:tc>
        <w:tc>
          <w:tcPr>
            <w:tcW w:w="1590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11.5 feet (138″)</w:t>
            </w:r>
          </w:p>
        </w:tc>
        <w:tc>
          <w:tcPr>
            <w:tcW w:w="1500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485" w:type="dxa"/>
            <w:vAlign w:val="center"/>
            <w:hideMark/>
          </w:tcPr>
          <w:p w:rsidR="008541D1" w:rsidRDefault="008541D1" w:rsidP="00565382">
            <w:pPr>
              <w:jc w:val="center"/>
              <w:rPr>
                <w:sz w:val="24"/>
                <w:szCs w:val="24"/>
              </w:rPr>
            </w:pPr>
            <w:r>
              <w:t>10 feet (120″)</w:t>
            </w:r>
          </w:p>
        </w:tc>
      </w:tr>
    </w:tbl>
    <w:p w:rsidR="008541D1" w:rsidRDefault="008541D1"/>
    <w:p w:rsidR="008541D1" w:rsidRDefault="008541D1" w:rsidP="008541D1">
      <w:pPr>
        <w:pStyle w:val="Heading3"/>
      </w:pPr>
    </w:p>
    <w:p w:rsidR="00575AB8" w:rsidRDefault="00575AB8" w:rsidP="008541D1">
      <w:pPr>
        <w:pStyle w:val="Heading3"/>
      </w:pPr>
    </w:p>
    <w:p w:rsidR="00575AB8" w:rsidRDefault="00575AB8" w:rsidP="008541D1">
      <w:pPr>
        <w:pStyle w:val="Heading3"/>
      </w:pPr>
    </w:p>
    <w:p w:rsidR="00575AB8" w:rsidRDefault="00575AB8" w:rsidP="008541D1">
      <w:pPr>
        <w:pStyle w:val="Heading3"/>
      </w:pPr>
    </w:p>
    <w:p w:rsidR="008541D1" w:rsidRDefault="008541D1" w:rsidP="008541D1">
      <w:pPr>
        <w:pStyle w:val="Heading3"/>
      </w:pPr>
    </w:p>
    <w:p w:rsidR="008541D1" w:rsidRDefault="008541D1" w:rsidP="008541D1">
      <w:pPr>
        <w:pStyle w:val="Heading3"/>
      </w:pPr>
      <w:r>
        <w:t>Double-Drop with Detachable Deck (aka Lowboy, RGN)</w:t>
      </w:r>
    </w:p>
    <w:p w:rsidR="008541D1" w:rsidRDefault="008541D1"/>
    <w:p w:rsidR="008541D1" w:rsidRDefault="008541D1"/>
    <w:p w:rsidR="008541D1" w:rsidRDefault="008541D1">
      <w:r>
        <w:rPr>
          <w:noProof/>
        </w:rPr>
        <w:drawing>
          <wp:inline distT="0" distB="0" distL="0" distR="0" wp14:anchorId="63AC68A8" wp14:editId="09182992">
            <wp:extent cx="4810125" cy="838200"/>
            <wp:effectExtent l="0" t="0" r="9525" b="0"/>
            <wp:docPr id="4" name="Picture 5" descr="http://stevenswest.com/wp-content/uploads/2015/05/detachdouble_drop_d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evenswest.com/wp-content/uploads/2015/05/detachdouble_drop_de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D1" w:rsidRDefault="008541D1" w:rsidP="008541D1">
      <w:pPr>
        <w:pStyle w:val="trailer-description"/>
      </w:pPr>
      <w:r>
        <w:t>This trailer accommodates freight with the maximum legal weight and dimensions shown below.</w:t>
      </w:r>
    </w:p>
    <w:p w:rsidR="00575AB8" w:rsidRDefault="00575AB8" w:rsidP="008541D1">
      <w:pPr>
        <w:pStyle w:val="trailer-description"/>
      </w:pPr>
    </w:p>
    <w:p w:rsidR="00575AB8" w:rsidRDefault="00575AB8" w:rsidP="008541D1">
      <w:pPr>
        <w:pStyle w:val="trailer-description"/>
      </w:pPr>
    </w:p>
    <w:p w:rsidR="008541D1" w:rsidRDefault="008541D1" w:rsidP="008541D1">
      <w:pPr>
        <w:pStyle w:val="Heading4"/>
      </w:pPr>
      <w:r>
        <w:t>Max Freight Weight</w:t>
      </w:r>
    </w:p>
    <w:p w:rsidR="008541D1" w:rsidRDefault="008541D1" w:rsidP="008541D1">
      <w:pPr>
        <w:pStyle w:val="NormalWeb"/>
      </w:pPr>
      <w:r>
        <w:t>45,000 lbs.</w:t>
      </w:r>
    </w:p>
    <w:p w:rsidR="00575AB8" w:rsidRDefault="00575AB8" w:rsidP="008541D1">
      <w:pPr>
        <w:pStyle w:val="NormalWeb"/>
      </w:pPr>
    </w:p>
    <w:p w:rsidR="008541D1" w:rsidRDefault="008541D1" w:rsidP="008541D1">
      <w:pPr>
        <w:pStyle w:val="Heading4"/>
      </w:pPr>
      <w:r>
        <w:t>Max Freight Dimensions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710"/>
        <w:gridCol w:w="1710"/>
        <w:gridCol w:w="1800"/>
      </w:tblGrid>
      <w:tr w:rsidR="008541D1" w:rsidTr="00575AB8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p w:rsidR="008541D1" w:rsidRPr="00575AB8" w:rsidRDefault="008541D1" w:rsidP="00575A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AB8">
              <w:rPr>
                <w:b/>
                <w:u w:val="single"/>
              </w:rPr>
              <w:t>Main Deck</w:t>
            </w:r>
          </w:p>
        </w:tc>
        <w:tc>
          <w:tcPr>
            <w:tcW w:w="1680" w:type="dxa"/>
            <w:vAlign w:val="center"/>
            <w:hideMark/>
          </w:tcPr>
          <w:p w:rsidR="008541D1" w:rsidRPr="00575AB8" w:rsidRDefault="008541D1" w:rsidP="00575A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AB8">
              <w:rPr>
                <w:b/>
                <w:u w:val="single"/>
              </w:rPr>
              <w:t>Front Deck</w:t>
            </w:r>
          </w:p>
        </w:tc>
        <w:tc>
          <w:tcPr>
            <w:tcW w:w="1755" w:type="dxa"/>
            <w:vAlign w:val="center"/>
            <w:hideMark/>
          </w:tcPr>
          <w:p w:rsidR="008541D1" w:rsidRPr="00575AB8" w:rsidRDefault="008541D1" w:rsidP="00575A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AB8">
              <w:rPr>
                <w:b/>
                <w:u w:val="single"/>
              </w:rPr>
              <w:t>Rear Deck</w:t>
            </w:r>
          </w:p>
        </w:tc>
      </w:tr>
      <w:tr w:rsidR="008541D1" w:rsidTr="00575AB8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Length:</w:t>
            </w:r>
          </w:p>
        </w:tc>
        <w:tc>
          <w:tcPr>
            <w:tcW w:w="1680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29 feet</w:t>
            </w:r>
          </w:p>
        </w:tc>
        <w:tc>
          <w:tcPr>
            <w:tcW w:w="1680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10 feet</w:t>
            </w:r>
          </w:p>
        </w:tc>
        <w:tc>
          <w:tcPr>
            <w:tcW w:w="1755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9 feet</w:t>
            </w:r>
          </w:p>
        </w:tc>
      </w:tr>
      <w:tr w:rsidR="008541D1" w:rsidTr="00575AB8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Width:</w:t>
            </w:r>
          </w:p>
        </w:tc>
        <w:tc>
          <w:tcPr>
            <w:tcW w:w="1680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680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755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</w:tr>
      <w:tr w:rsidR="008541D1" w:rsidTr="00575AB8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Height:</w:t>
            </w:r>
          </w:p>
        </w:tc>
        <w:tc>
          <w:tcPr>
            <w:tcW w:w="1680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11.5 feet (138″)</w:t>
            </w:r>
          </w:p>
        </w:tc>
        <w:tc>
          <w:tcPr>
            <w:tcW w:w="1680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8.5 feet (102″)</w:t>
            </w:r>
          </w:p>
        </w:tc>
        <w:tc>
          <w:tcPr>
            <w:tcW w:w="1755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10 feet (120″)</w:t>
            </w:r>
          </w:p>
        </w:tc>
      </w:tr>
    </w:tbl>
    <w:p w:rsidR="008541D1" w:rsidRDefault="008541D1"/>
    <w:p w:rsidR="008541D1" w:rsidRDefault="008541D1" w:rsidP="008541D1">
      <w:pPr>
        <w:pStyle w:val="Heading3"/>
      </w:pPr>
    </w:p>
    <w:p w:rsidR="00575AB8" w:rsidRDefault="00575AB8" w:rsidP="008541D1">
      <w:pPr>
        <w:pStyle w:val="Heading3"/>
      </w:pPr>
    </w:p>
    <w:p w:rsidR="00575AB8" w:rsidRDefault="00575AB8" w:rsidP="008541D1">
      <w:pPr>
        <w:pStyle w:val="Heading3"/>
      </w:pPr>
    </w:p>
    <w:p w:rsidR="00575AB8" w:rsidRDefault="00575AB8" w:rsidP="008541D1">
      <w:pPr>
        <w:pStyle w:val="Heading3"/>
      </w:pPr>
    </w:p>
    <w:p w:rsidR="00575AB8" w:rsidRDefault="00575AB8" w:rsidP="008541D1">
      <w:pPr>
        <w:pStyle w:val="Heading3"/>
      </w:pPr>
    </w:p>
    <w:p w:rsidR="008541D1" w:rsidRDefault="008541D1" w:rsidP="008541D1">
      <w:pPr>
        <w:pStyle w:val="Heading3"/>
      </w:pPr>
      <w:r>
        <w:t>Enclosed Box Trailer (aka Dry Van)</w:t>
      </w:r>
    </w:p>
    <w:p w:rsidR="008541D1" w:rsidRDefault="008541D1"/>
    <w:p w:rsidR="008541D1" w:rsidRDefault="008541D1">
      <w:r>
        <w:rPr>
          <w:noProof/>
        </w:rPr>
        <w:drawing>
          <wp:inline distT="0" distB="0" distL="0" distR="0" wp14:anchorId="5991A710" wp14:editId="1BCD5769">
            <wp:extent cx="5143500" cy="1762125"/>
            <wp:effectExtent l="0" t="0" r="0" b="9525"/>
            <wp:docPr id="5" name="Picture 6" descr="http://stevenswest.com/wp-content/uploads/2015/05/v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evenswest.com/wp-content/uploads/2015/05/va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D1" w:rsidRDefault="008541D1"/>
    <w:p w:rsidR="008541D1" w:rsidRDefault="008541D1" w:rsidP="008541D1">
      <w:pPr>
        <w:pStyle w:val="trailer-description"/>
      </w:pPr>
      <w:r>
        <w:t>This trailer accommodates freight with the maximum legal weight and dimensions shown below.</w:t>
      </w:r>
    </w:p>
    <w:p w:rsidR="00575AB8" w:rsidRDefault="00575AB8" w:rsidP="008541D1">
      <w:pPr>
        <w:pStyle w:val="trailer-description"/>
      </w:pPr>
    </w:p>
    <w:p w:rsidR="008541D1" w:rsidRDefault="008541D1" w:rsidP="008541D1">
      <w:pPr>
        <w:pStyle w:val="Heading4"/>
      </w:pPr>
      <w:r>
        <w:t>Max Freight Weight</w:t>
      </w:r>
    </w:p>
    <w:p w:rsidR="008541D1" w:rsidRDefault="008541D1" w:rsidP="008541D1">
      <w:pPr>
        <w:pStyle w:val="NormalWeb"/>
      </w:pPr>
      <w:r>
        <w:t>44,000 lbs.</w:t>
      </w:r>
    </w:p>
    <w:p w:rsidR="00575AB8" w:rsidRDefault="00575AB8" w:rsidP="008541D1">
      <w:pPr>
        <w:pStyle w:val="NormalWeb"/>
      </w:pPr>
    </w:p>
    <w:p w:rsidR="008541D1" w:rsidRDefault="008541D1" w:rsidP="008541D1">
      <w:pPr>
        <w:pStyle w:val="Heading4"/>
      </w:pPr>
      <w:r>
        <w:t>Max Freight Dimensions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2160"/>
      </w:tblGrid>
      <w:tr w:rsidR="008541D1" w:rsidTr="00575AB8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  <w:hideMark/>
          </w:tcPr>
          <w:p w:rsidR="008541D1" w:rsidRPr="00575AB8" w:rsidRDefault="008541D1" w:rsidP="00575A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AB8">
              <w:rPr>
                <w:b/>
                <w:u w:val="single"/>
              </w:rPr>
              <w:t>Dimensions</w:t>
            </w:r>
          </w:p>
        </w:tc>
      </w:tr>
      <w:tr w:rsidR="008541D1" w:rsidTr="00575AB8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Length:</w:t>
            </w:r>
          </w:p>
        </w:tc>
        <w:tc>
          <w:tcPr>
            <w:tcW w:w="2115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52.5 feet</w:t>
            </w:r>
          </w:p>
        </w:tc>
      </w:tr>
      <w:tr w:rsidR="008541D1" w:rsidTr="00575AB8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Width:</w:t>
            </w:r>
          </w:p>
        </w:tc>
        <w:tc>
          <w:tcPr>
            <w:tcW w:w="2115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8 feet 4 inches (100″)</w:t>
            </w:r>
          </w:p>
        </w:tc>
      </w:tr>
      <w:tr w:rsidR="008541D1" w:rsidTr="00575AB8">
        <w:trPr>
          <w:tblCellSpacing w:w="15" w:type="dxa"/>
        </w:trPr>
        <w:tc>
          <w:tcPr>
            <w:tcW w:w="900" w:type="dxa"/>
            <w:vAlign w:val="center"/>
            <w:hideMark/>
          </w:tcPr>
          <w:p w:rsidR="008541D1" w:rsidRDefault="008541D1">
            <w:pPr>
              <w:rPr>
                <w:sz w:val="24"/>
                <w:szCs w:val="24"/>
              </w:rPr>
            </w:pPr>
            <w:r>
              <w:t>Height:</w:t>
            </w:r>
          </w:p>
        </w:tc>
        <w:tc>
          <w:tcPr>
            <w:tcW w:w="2115" w:type="dxa"/>
            <w:vAlign w:val="center"/>
            <w:hideMark/>
          </w:tcPr>
          <w:p w:rsidR="008541D1" w:rsidRDefault="008541D1" w:rsidP="00575AB8">
            <w:pPr>
              <w:jc w:val="center"/>
              <w:rPr>
                <w:sz w:val="24"/>
                <w:szCs w:val="24"/>
              </w:rPr>
            </w:pPr>
            <w:r>
              <w:t>9 feet 2 inches (110″)</w:t>
            </w:r>
          </w:p>
        </w:tc>
      </w:tr>
    </w:tbl>
    <w:p w:rsidR="008541D1" w:rsidRDefault="008541D1"/>
    <w:sectPr w:rsidR="0085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D1"/>
    <w:rsid w:val="00005788"/>
    <w:rsid w:val="0000703E"/>
    <w:rsid w:val="00010187"/>
    <w:rsid w:val="0001150A"/>
    <w:rsid w:val="00033AE0"/>
    <w:rsid w:val="00033B7C"/>
    <w:rsid w:val="000401B6"/>
    <w:rsid w:val="00044DA4"/>
    <w:rsid w:val="0004696E"/>
    <w:rsid w:val="00051ACB"/>
    <w:rsid w:val="00063D87"/>
    <w:rsid w:val="00064448"/>
    <w:rsid w:val="000667AD"/>
    <w:rsid w:val="00071D56"/>
    <w:rsid w:val="000743A5"/>
    <w:rsid w:val="00083F4C"/>
    <w:rsid w:val="00087C78"/>
    <w:rsid w:val="000936E0"/>
    <w:rsid w:val="000955F2"/>
    <w:rsid w:val="000A1558"/>
    <w:rsid w:val="000A2938"/>
    <w:rsid w:val="000A30C4"/>
    <w:rsid w:val="000A7286"/>
    <w:rsid w:val="000A72D9"/>
    <w:rsid w:val="000B08A3"/>
    <w:rsid w:val="000B1445"/>
    <w:rsid w:val="000C2934"/>
    <w:rsid w:val="000C515B"/>
    <w:rsid w:val="000C55B9"/>
    <w:rsid w:val="000C5CF7"/>
    <w:rsid w:val="000D38E4"/>
    <w:rsid w:val="000D59DA"/>
    <w:rsid w:val="000D66A9"/>
    <w:rsid w:val="000E102C"/>
    <w:rsid w:val="000E55AC"/>
    <w:rsid w:val="000F062E"/>
    <w:rsid w:val="000F7398"/>
    <w:rsid w:val="00111E7A"/>
    <w:rsid w:val="001222C3"/>
    <w:rsid w:val="00123071"/>
    <w:rsid w:val="00131F4B"/>
    <w:rsid w:val="00145E02"/>
    <w:rsid w:val="00153D46"/>
    <w:rsid w:val="00156FD7"/>
    <w:rsid w:val="001572B4"/>
    <w:rsid w:val="00157F6D"/>
    <w:rsid w:val="0016137B"/>
    <w:rsid w:val="00165FC2"/>
    <w:rsid w:val="001667B2"/>
    <w:rsid w:val="00166AE1"/>
    <w:rsid w:val="0016712A"/>
    <w:rsid w:val="00172231"/>
    <w:rsid w:val="0017497F"/>
    <w:rsid w:val="00176907"/>
    <w:rsid w:val="0018255D"/>
    <w:rsid w:val="00182E5A"/>
    <w:rsid w:val="00184E63"/>
    <w:rsid w:val="0019672F"/>
    <w:rsid w:val="001967E6"/>
    <w:rsid w:val="001A28F4"/>
    <w:rsid w:val="001A2C5C"/>
    <w:rsid w:val="001B3E10"/>
    <w:rsid w:val="001C1A54"/>
    <w:rsid w:val="001C3CBA"/>
    <w:rsid w:val="001C3FF8"/>
    <w:rsid w:val="001D1093"/>
    <w:rsid w:val="001D2991"/>
    <w:rsid w:val="001D53F1"/>
    <w:rsid w:val="001E3B16"/>
    <w:rsid w:val="001E4298"/>
    <w:rsid w:val="001E6260"/>
    <w:rsid w:val="001E7D26"/>
    <w:rsid w:val="00201A4F"/>
    <w:rsid w:val="002040A0"/>
    <w:rsid w:val="00205A58"/>
    <w:rsid w:val="00214BDD"/>
    <w:rsid w:val="00222B95"/>
    <w:rsid w:val="00243282"/>
    <w:rsid w:val="00246EAE"/>
    <w:rsid w:val="0025231E"/>
    <w:rsid w:val="002551B6"/>
    <w:rsid w:val="002569D4"/>
    <w:rsid w:val="00260318"/>
    <w:rsid w:val="0026201A"/>
    <w:rsid w:val="00264CF5"/>
    <w:rsid w:val="00270110"/>
    <w:rsid w:val="002724F8"/>
    <w:rsid w:val="002733D2"/>
    <w:rsid w:val="002735B2"/>
    <w:rsid w:val="00274C7F"/>
    <w:rsid w:val="0027517F"/>
    <w:rsid w:val="00281D06"/>
    <w:rsid w:val="002828D2"/>
    <w:rsid w:val="00292E45"/>
    <w:rsid w:val="00292EA0"/>
    <w:rsid w:val="002A493E"/>
    <w:rsid w:val="002A60F6"/>
    <w:rsid w:val="002A6266"/>
    <w:rsid w:val="002B2344"/>
    <w:rsid w:val="002B27A9"/>
    <w:rsid w:val="002B4F0A"/>
    <w:rsid w:val="002C0F1C"/>
    <w:rsid w:val="002D0318"/>
    <w:rsid w:val="002D0B63"/>
    <w:rsid w:val="002F1E03"/>
    <w:rsid w:val="002F519F"/>
    <w:rsid w:val="00300036"/>
    <w:rsid w:val="0030644B"/>
    <w:rsid w:val="00315F11"/>
    <w:rsid w:val="00316D3E"/>
    <w:rsid w:val="00321991"/>
    <w:rsid w:val="003253E9"/>
    <w:rsid w:val="0032572D"/>
    <w:rsid w:val="003268C8"/>
    <w:rsid w:val="003346BB"/>
    <w:rsid w:val="003431D3"/>
    <w:rsid w:val="0034389C"/>
    <w:rsid w:val="00345E27"/>
    <w:rsid w:val="00351218"/>
    <w:rsid w:val="003529AA"/>
    <w:rsid w:val="00354A61"/>
    <w:rsid w:val="00357016"/>
    <w:rsid w:val="00363F4C"/>
    <w:rsid w:val="00364E79"/>
    <w:rsid w:val="00377D1C"/>
    <w:rsid w:val="00381B56"/>
    <w:rsid w:val="00383FF3"/>
    <w:rsid w:val="003849BB"/>
    <w:rsid w:val="00384C7F"/>
    <w:rsid w:val="00384FF4"/>
    <w:rsid w:val="00386764"/>
    <w:rsid w:val="00386874"/>
    <w:rsid w:val="00390883"/>
    <w:rsid w:val="00392F66"/>
    <w:rsid w:val="00396A20"/>
    <w:rsid w:val="003A39B7"/>
    <w:rsid w:val="003A4F25"/>
    <w:rsid w:val="003A5C7A"/>
    <w:rsid w:val="003A66E2"/>
    <w:rsid w:val="003A7F95"/>
    <w:rsid w:val="003B1343"/>
    <w:rsid w:val="003B416A"/>
    <w:rsid w:val="003B7909"/>
    <w:rsid w:val="003C039F"/>
    <w:rsid w:val="003C1241"/>
    <w:rsid w:val="003C373F"/>
    <w:rsid w:val="003D5986"/>
    <w:rsid w:val="003D67DC"/>
    <w:rsid w:val="003E1014"/>
    <w:rsid w:val="003E1577"/>
    <w:rsid w:val="003E3F46"/>
    <w:rsid w:val="00402235"/>
    <w:rsid w:val="004033D6"/>
    <w:rsid w:val="004072B6"/>
    <w:rsid w:val="004240CE"/>
    <w:rsid w:val="0042580F"/>
    <w:rsid w:val="00427A77"/>
    <w:rsid w:val="004339D8"/>
    <w:rsid w:val="00433A4E"/>
    <w:rsid w:val="004438B1"/>
    <w:rsid w:val="00450D20"/>
    <w:rsid w:val="0045226F"/>
    <w:rsid w:val="00453B63"/>
    <w:rsid w:val="00457925"/>
    <w:rsid w:val="00460CD3"/>
    <w:rsid w:val="00462E14"/>
    <w:rsid w:val="0046351C"/>
    <w:rsid w:val="00465218"/>
    <w:rsid w:val="00465F89"/>
    <w:rsid w:val="00466F09"/>
    <w:rsid w:val="004717A7"/>
    <w:rsid w:val="00476BD0"/>
    <w:rsid w:val="004811E4"/>
    <w:rsid w:val="00491013"/>
    <w:rsid w:val="0049391D"/>
    <w:rsid w:val="00494870"/>
    <w:rsid w:val="00494F09"/>
    <w:rsid w:val="004A1186"/>
    <w:rsid w:val="004A2ABE"/>
    <w:rsid w:val="004B2811"/>
    <w:rsid w:val="004B4BD4"/>
    <w:rsid w:val="004C5028"/>
    <w:rsid w:val="004E0B68"/>
    <w:rsid w:val="004E1535"/>
    <w:rsid w:val="004E7806"/>
    <w:rsid w:val="00502336"/>
    <w:rsid w:val="00504886"/>
    <w:rsid w:val="00506679"/>
    <w:rsid w:val="0051199F"/>
    <w:rsid w:val="0052154D"/>
    <w:rsid w:val="00523C82"/>
    <w:rsid w:val="00523FC3"/>
    <w:rsid w:val="00524B74"/>
    <w:rsid w:val="00526D11"/>
    <w:rsid w:val="00530DF9"/>
    <w:rsid w:val="00547F57"/>
    <w:rsid w:val="00565382"/>
    <w:rsid w:val="00570F15"/>
    <w:rsid w:val="00571044"/>
    <w:rsid w:val="00575AB8"/>
    <w:rsid w:val="00590926"/>
    <w:rsid w:val="005909DA"/>
    <w:rsid w:val="00590CD8"/>
    <w:rsid w:val="00597111"/>
    <w:rsid w:val="005B1678"/>
    <w:rsid w:val="005B3BC0"/>
    <w:rsid w:val="005B5105"/>
    <w:rsid w:val="005C3E6A"/>
    <w:rsid w:val="005D36D6"/>
    <w:rsid w:val="005D4F74"/>
    <w:rsid w:val="005D5CAC"/>
    <w:rsid w:val="005D5EEC"/>
    <w:rsid w:val="005D6BF4"/>
    <w:rsid w:val="005E44EA"/>
    <w:rsid w:val="005E682D"/>
    <w:rsid w:val="005F2973"/>
    <w:rsid w:val="005F7F07"/>
    <w:rsid w:val="00601680"/>
    <w:rsid w:val="00605839"/>
    <w:rsid w:val="0063320B"/>
    <w:rsid w:val="006423D1"/>
    <w:rsid w:val="00654245"/>
    <w:rsid w:val="00663E33"/>
    <w:rsid w:val="00664524"/>
    <w:rsid w:val="00677948"/>
    <w:rsid w:val="00677AB7"/>
    <w:rsid w:val="00680C71"/>
    <w:rsid w:val="0068160C"/>
    <w:rsid w:val="006849BC"/>
    <w:rsid w:val="00685C0F"/>
    <w:rsid w:val="0069620B"/>
    <w:rsid w:val="006978F0"/>
    <w:rsid w:val="006A1257"/>
    <w:rsid w:val="006A6524"/>
    <w:rsid w:val="006B419F"/>
    <w:rsid w:val="006B706F"/>
    <w:rsid w:val="006C06D8"/>
    <w:rsid w:val="006C1530"/>
    <w:rsid w:val="006C1712"/>
    <w:rsid w:val="006C1DB1"/>
    <w:rsid w:val="006C4C36"/>
    <w:rsid w:val="006C5C17"/>
    <w:rsid w:val="006D108E"/>
    <w:rsid w:val="006D4F69"/>
    <w:rsid w:val="006D6329"/>
    <w:rsid w:val="006E57D0"/>
    <w:rsid w:val="006F1928"/>
    <w:rsid w:val="006F3E53"/>
    <w:rsid w:val="006F418E"/>
    <w:rsid w:val="006F5BA2"/>
    <w:rsid w:val="0070324D"/>
    <w:rsid w:val="00705CA5"/>
    <w:rsid w:val="0070788E"/>
    <w:rsid w:val="00717BE1"/>
    <w:rsid w:val="0072139C"/>
    <w:rsid w:val="00721D40"/>
    <w:rsid w:val="00723DAE"/>
    <w:rsid w:val="00726B52"/>
    <w:rsid w:val="007311BC"/>
    <w:rsid w:val="00736748"/>
    <w:rsid w:val="007369B0"/>
    <w:rsid w:val="00740C75"/>
    <w:rsid w:val="00743373"/>
    <w:rsid w:val="0074442E"/>
    <w:rsid w:val="0075700A"/>
    <w:rsid w:val="00761076"/>
    <w:rsid w:val="00761876"/>
    <w:rsid w:val="00766196"/>
    <w:rsid w:val="00766607"/>
    <w:rsid w:val="0076670A"/>
    <w:rsid w:val="00767841"/>
    <w:rsid w:val="00782602"/>
    <w:rsid w:val="00782A54"/>
    <w:rsid w:val="00792649"/>
    <w:rsid w:val="007979B3"/>
    <w:rsid w:val="007A1303"/>
    <w:rsid w:val="007A5901"/>
    <w:rsid w:val="007A7C6F"/>
    <w:rsid w:val="007C0F06"/>
    <w:rsid w:val="007C3C7A"/>
    <w:rsid w:val="007D3741"/>
    <w:rsid w:val="007D44D7"/>
    <w:rsid w:val="007D63FC"/>
    <w:rsid w:val="007E088B"/>
    <w:rsid w:val="007F0818"/>
    <w:rsid w:val="007F1B33"/>
    <w:rsid w:val="007F1BEC"/>
    <w:rsid w:val="007F2640"/>
    <w:rsid w:val="007F509A"/>
    <w:rsid w:val="007F5529"/>
    <w:rsid w:val="007F716D"/>
    <w:rsid w:val="007F778B"/>
    <w:rsid w:val="00805541"/>
    <w:rsid w:val="0081582E"/>
    <w:rsid w:val="00817442"/>
    <w:rsid w:val="00822D6B"/>
    <w:rsid w:val="008245F2"/>
    <w:rsid w:val="0083368F"/>
    <w:rsid w:val="00846912"/>
    <w:rsid w:val="00850BC9"/>
    <w:rsid w:val="008541D1"/>
    <w:rsid w:val="00855C82"/>
    <w:rsid w:val="008607B8"/>
    <w:rsid w:val="00872C27"/>
    <w:rsid w:val="00876033"/>
    <w:rsid w:val="00883EDE"/>
    <w:rsid w:val="00886F4B"/>
    <w:rsid w:val="008A128A"/>
    <w:rsid w:val="008A300F"/>
    <w:rsid w:val="008A7BB3"/>
    <w:rsid w:val="008C1CF2"/>
    <w:rsid w:val="008C55CD"/>
    <w:rsid w:val="008C669C"/>
    <w:rsid w:val="008D481D"/>
    <w:rsid w:val="008E0C21"/>
    <w:rsid w:val="008F3BF9"/>
    <w:rsid w:val="00907091"/>
    <w:rsid w:val="00913AE3"/>
    <w:rsid w:val="00920367"/>
    <w:rsid w:val="00920C8D"/>
    <w:rsid w:val="00932201"/>
    <w:rsid w:val="00933170"/>
    <w:rsid w:val="00933992"/>
    <w:rsid w:val="00937AAC"/>
    <w:rsid w:val="0094076B"/>
    <w:rsid w:val="00940DC3"/>
    <w:rsid w:val="009438EE"/>
    <w:rsid w:val="00946B05"/>
    <w:rsid w:val="00951A29"/>
    <w:rsid w:val="00956E30"/>
    <w:rsid w:val="009653C3"/>
    <w:rsid w:val="00965525"/>
    <w:rsid w:val="0097358C"/>
    <w:rsid w:val="00974F19"/>
    <w:rsid w:val="0097717F"/>
    <w:rsid w:val="0098167E"/>
    <w:rsid w:val="00981EA5"/>
    <w:rsid w:val="00982C27"/>
    <w:rsid w:val="00984EA2"/>
    <w:rsid w:val="00990CD9"/>
    <w:rsid w:val="00996186"/>
    <w:rsid w:val="009A0885"/>
    <w:rsid w:val="009A0942"/>
    <w:rsid w:val="009A0A84"/>
    <w:rsid w:val="009A18B0"/>
    <w:rsid w:val="009A290A"/>
    <w:rsid w:val="009A3365"/>
    <w:rsid w:val="009A3831"/>
    <w:rsid w:val="009A444E"/>
    <w:rsid w:val="009A4F11"/>
    <w:rsid w:val="009B1317"/>
    <w:rsid w:val="009B3DBC"/>
    <w:rsid w:val="009B51B0"/>
    <w:rsid w:val="009C50C6"/>
    <w:rsid w:val="009D2F70"/>
    <w:rsid w:val="009D72B3"/>
    <w:rsid w:val="009E6127"/>
    <w:rsid w:val="00A04C1E"/>
    <w:rsid w:val="00A04EC4"/>
    <w:rsid w:val="00A04F29"/>
    <w:rsid w:val="00A0516B"/>
    <w:rsid w:val="00A06ADE"/>
    <w:rsid w:val="00A110C6"/>
    <w:rsid w:val="00A121E9"/>
    <w:rsid w:val="00A12E5C"/>
    <w:rsid w:val="00A168A1"/>
    <w:rsid w:val="00A179B3"/>
    <w:rsid w:val="00A338B8"/>
    <w:rsid w:val="00A37495"/>
    <w:rsid w:val="00A42C89"/>
    <w:rsid w:val="00A4320D"/>
    <w:rsid w:val="00A43CC6"/>
    <w:rsid w:val="00A51AC5"/>
    <w:rsid w:val="00A51FAE"/>
    <w:rsid w:val="00A54A20"/>
    <w:rsid w:val="00A61404"/>
    <w:rsid w:val="00A61A1C"/>
    <w:rsid w:val="00A6448C"/>
    <w:rsid w:val="00A66B49"/>
    <w:rsid w:val="00A7416C"/>
    <w:rsid w:val="00A85F82"/>
    <w:rsid w:val="00A9163F"/>
    <w:rsid w:val="00A92E87"/>
    <w:rsid w:val="00AA6296"/>
    <w:rsid w:val="00AA76B7"/>
    <w:rsid w:val="00AB73EC"/>
    <w:rsid w:val="00AC0201"/>
    <w:rsid w:val="00AC0A14"/>
    <w:rsid w:val="00AC3047"/>
    <w:rsid w:val="00AC7DB7"/>
    <w:rsid w:val="00AD1EDF"/>
    <w:rsid w:val="00AD43ED"/>
    <w:rsid w:val="00AD5A2D"/>
    <w:rsid w:val="00AE0162"/>
    <w:rsid w:val="00AE1F66"/>
    <w:rsid w:val="00AE5454"/>
    <w:rsid w:val="00AE6355"/>
    <w:rsid w:val="00AF18BF"/>
    <w:rsid w:val="00AF2381"/>
    <w:rsid w:val="00AF5533"/>
    <w:rsid w:val="00B04A9F"/>
    <w:rsid w:val="00B06AEE"/>
    <w:rsid w:val="00B11940"/>
    <w:rsid w:val="00B13C83"/>
    <w:rsid w:val="00B15A39"/>
    <w:rsid w:val="00B224EF"/>
    <w:rsid w:val="00B2366B"/>
    <w:rsid w:val="00B2516D"/>
    <w:rsid w:val="00B25618"/>
    <w:rsid w:val="00B25D0C"/>
    <w:rsid w:val="00B27321"/>
    <w:rsid w:val="00B32271"/>
    <w:rsid w:val="00B34812"/>
    <w:rsid w:val="00B42330"/>
    <w:rsid w:val="00B47658"/>
    <w:rsid w:val="00B50300"/>
    <w:rsid w:val="00B50693"/>
    <w:rsid w:val="00B51E81"/>
    <w:rsid w:val="00B578E7"/>
    <w:rsid w:val="00B5798F"/>
    <w:rsid w:val="00B61713"/>
    <w:rsid w:val="00B63436"/>
    <w:rsid w:val="00B63844"/>
    <w:rsid w:val="00B745EA"/>
    <w:rsid w:val="00B75861"/>
    <w:rsid w:val="00B77D5C"/>
    <w:rsid w:val="00B92968"/>
    <w:rsid w:val="00B93E82"/>
    <w:rsid w:val="00BA0BB0"/>
    <w:rsid w:val="00BA130F"/>
    <w:rsid w:val="00BA2CCC"/>
    <w:rsid w:val="00BA3B7D"/>
    <w:rsid w:val="00BA403F"/>
    <w:rsid w:val="00BA5802"/>
    <w:rsid w:val="00BB345F"/>
    <w:rsid w:val="00BC0BD8"/>
    <w:rsid w:val="00BC1744"/>
    <w:rsid w:val="00BD59FE"/>
    <w:rsid w:val="00BE0504"/>
    <w:rsid w:val="00BE22ED"/>
    <w:rsid w:val="00BF000C"/>
    <w:rsid w:val="00BF3BA5"/>
    <w:rsid w:val="00C062B6"/>
    <w:rsid w:val="00C06B40"/>
    <w:rsid w:val="00C13253"/>
    <w:rsid w:val="00C13FF6"/>
    <w:rsid w:val="00C202C7"/>
    <w:rsid w:val="00C204D1"/>
    <w:rsid w:val="00C36BDA"/>
    <w:rsid w:val="00C43A09"/>
    <w:rsid w:val="00C43E7B"/>
    <w:rsid w:val="00C45AEE"/>
    <w:rsid w:val="00C560E8"/>
    <w:rsid w:val="00C560F7"/>
    <w:rsid w:val="00C600FD"/>
    <w:rsid w:val="00C616C3"/>
    <w:rsid w:val="00C62D68"/>
    <w:rsid w:val="00C6449A"/>
    <w:rsid w:val="00C64B51"/>
    <w:rsid w:val="00C64EE4"/>
    <w:rsid w:val="00C6502A"/>
    <w:rsid w:val="00C654FC"/>
    <w:rsid w:val="00C75298"/>
    <w:rsid w:val="00C83E4F"/>
    <w:rsid w:val="00C9302A"/>
    <w:rsid w:val="00C94E4B"/>
    <w:rsid w:val="00CA1C6C"/>
    <w:rsid w:val="00CC32A4"/>
    <w:rsid w:val="00CD4FED"/>
    <w:rsid w:val="00CD7351"/>
    <w:rsid w:val="00CE2598"/>
    <w:rsid w:val="00CF0048"/>
    <w:rsid w:val="00CF2234"/>
    <w:rsid w:val="00CF225C"/>
    <w:rsid w:val="00CF6909"/>
    <w:rsid w:val="00CF6DD3"/>
    <w:rsid w:val="00CF77B4"/>
    <w:rsid w:val="00D143F1"/>
    <w:rsid w:val="00D31A6E"/>
    <w:rsid w:val="00D31E80"/>
    <w:rsid w:val="00D3421B"/>
    <w:rsid w:val="00D61BCC"/>
    <w:rsid w:val="00D62350"/>
    <w:rsid w:val="00D64FC2"/>
    <w:rsid w:val="00D651DC"/>
    <w:rsid w:val="00D7424E"/>
    <w:rsid w:val="00D76DB6"/>
    <w:rsid w:val="00D876BD"/>
    <w:rsid w:val="00D87885"/>
    <w:rsid w:val="00D952EA"/>
    <w:rsid w:val="00D96CBF"/>
    <w:rsid w:val="00DA43D9"/>
    <w:rsid w:val="00DA4482"/>
    <w:rsid w:val="00DA5984"/>
    <w:rsid w:val="00DA5D7C"/>
    <w:rsid w:val="00DA6D5F"/>
    <w:rsid w:val="00DA70AF"/>
    <w:rsid w:val="00DA7727"/>
    <w:rsid w:val="00DB4B4F"/>
    <w:rsid w:val="00DB4E81"/>
    <w:rsid w:val="00DB6FBB"/>
    <w:rsid w:val="00DC27FF"/>
    <w:rsid w:val="00DC30D6"/>
    <w:rsid w:val="00DD3F5D"/>
    <w:rsid w:val="00DD7E96"/>
    <w:rsid w:val="00DE3345"/>
    <w:rsid w:val="00DE3A9F"/>
    <w:rsid w:val="00DE6CAD"/>
    <w:rsid w:val="00DF086A"/>
    <w:rsid w:val="00DF0B81"/>
    <w:rsid w:val="00DF184E"/>
    <w:rsid w:val="00DF262B"/>
    <w:rsid w:val="00E027CA"/>
    <w:rsid w:val="00E02F04"/>
    <w:rsid w:val="00E07D27"/>
    <w:rsid w:val="00E10D56"/>
    <w:rsid w:val="00E11033"/>
    <w:rsid w:val="00E15721"/>
    <w:rsid w:val="00E1732D"/>
    <w:rsid w:val="00E20F83"/>
    <w:rsid w:val="00E23D5C"/>
    <w:rsid w:val="00E273B1"/>
    <w:rsid w:val="00E27BD5"/>
    <w:rsid w:val="00E27D1B"/>
    <w:rsid w:val="00E32788"/>
    <w:rsid w:val="00E40912"/>
    <w:rsid w:val="00E40D3B"/>
    <w:rsid w:val="00E4274C"/>
    <w:rsid w:val="00E4577B"/>
    <w:rsid w:val="00E55095"/>
    <w:rsid w:val="00E55DD0"/>
    <w:rsid w:val="00E571CE"/>
    <w:rsid w:val="00E623C6"/>
    <w:rsid w:val="00E63C19"/>
    <w:rsid w:val="00E6419A"/>
    <w:rsid w:val="00E66E3B"/>
    <w:rsid w:val="00E67799"/>
    <w:rsid w:val="00E7165E"/>
    <w:rsid w:val="00E71F2A"/>
    <w:rsid w:val="00E72807"/>
    <w:rsid w:val="00E87491"/>
    <w:rsid w:val="00E93254"/>
    <w:rsid w:val="00E9456E"/>
    <w:rsid w:val="00E960B5"/>
    <w:rsid w:val="00EA0C35"/>
    <w:rsid w:val="00EA574F"/>
    <w:rsid w:val="00EB6317"/>
    <w:rsid w:val="00EB7BA8"/>
    <w:rsid w:val="00EC01B6"/>
    <w:rsid w:val="00EC58EE"/>
    <w:rsid w:val="00ED2A11"/>
    <w:rsid w:val="00ED2D8B"/>
    <w:rsid w:val="00ED34DF"/>
    <w:rsid w:val="00EF18D1"/>
    <w:rsid w:val="00EF2565"/>
    <w:rsid w:val="00F02436"/>
    <w:rsid w:val="00F02A51"/>
    <w:rsid w:val="00F04884"/>
    <w:rsid w:val="00F114B3"/>
    <w:rsid w:val="00F21144"/>
    <w:rsid w:val="00F3176C"/>
    <w:rsid w:val="00F35365"/>
    <w:rsid w:val="00F35C37"/>
    <w:rsid w:val="00F40D8E"/>
    <w:rsid w:val="00F51396"/>
    <w:rsid w:val="00F527DB"/>
    <w:rsid w:val="00F55150"/>
    <w:rsid w:val="00F6545E"/>
    <w:rsid w:val="00FA2901"/>
    <w:rsid w:val="00FB45C0"/>
    <w:rsid w:val="00FB6523"/>
    <w:rsid w:val="00FC1F7A"/>
    <w:rsid w:val="00FD23EE"/>
    <w:rsid w:val="00FE358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4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41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railer-description">
    <w:name w:val="trailer-description"/>
    <w:basedOn w:val="Normal"/>
    <w:rsid w:val="0085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4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41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railer-description">
    <w:name w:val="trailer-description"/>
    <w:basedOn w:val="Normal"/>
    <w:rsid w:val="0085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evenswest.com/wp-content/uploads/2015/05/flatbed1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Reed</dc:creator>
  <cp:lastModifiedBy>Brandon Reed</cp:lastModifiedBy>
  <cp:revision>2</cp:revision>
  <cp:lastPrinted>2016-12-05T14:32:00Z</cp:lastPrinted>
  <dcterms:created xsi:type="dcterms:W3CDTF">2016-12-05T14:19:00Z</dcterms:created>
  <dcterms:modified xsi:type="dcterms:W3CDTF">2016-12-05T14:52:00Z</dcterms:modified>
</cp:coreProperties>
</file>